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53" w:type="dxa"/>
        <w:jc w:val="center"/>
        <w:tblCellSpacing w:w="30" w:type="dxa"/>
        <w:tblCellMar>
          <w:left w:w="0" w:type="dxa"/>
          <w:right w:w="0" w:type="dxa"/>
        </w:tblCellMar>
        <w:tblLook w:val="04A0" w:firstRow="1" w:lastRow="0" w:firstColumn="1" w:lastColumn="0" w:noHBand="0" w:noVBand="1"/>
      </w:tblPr>
      <w:tblGrid>
        <w:gridCol w:w="7353"/>
        <w:gridCol w:w="4300"/>
      </w:tblGrid>
      <w:tr w:rsidR="007047D4" w14:paraId="105696E2" w14:textId="77777777" w:rsidTr="007047D4">
        <w:trPr>
          <w:trHeight w:val="142"/>
          <w:tblCellSpacing w:w="30" w:type="dxa"/>
          <w:jc w:val="center"/>
        </w:trPr>
        <w:tc>
          <w:tcPr>
            <w:tcW w:w="11533" w:type="dxa"/>
            <w:gridSpan w:val="2"/>
            <w:vAlign w:val="center"/>
            <w:hideMark/>
          </w:tcPr>
          <w:p w14:paraId="3FFAB74B" w14:textId="77777777" w:rsidR="007047D4" w:rsidRDefault="007047D4">
            <w:pPr>
              <w:jc w:val="center"/>
              <w:rPr>
                <w:rFonts w:ascii="Century Gothic" w:hAnsi="Century Gothic"/>
                <w:sz w:val="24"/>
                <w:szCs w:val="24"/>
              </w:rPr>
            </w:pPr>
            <w:r>
              <w:rPr>
                <w:rFonts w:ascii="Century Gothic" w:hAnsi="Century Gothic"/>
                <w:noProof/>
                <w:sz w:val="24"/>
                <w:szCs w:val="24"/>
                <w:lang w:eastAsia="en-CA"/>
              </w:rPr>
              <w:drawing>
                <wp:inline distT="0" distB="0" distL="0" distR="0" wp14:anchorId="237874A7" wp14:editId="5F1FFA04">
                  <wp:extent cx="6896100" cy="1303020"/>
                  <wp:effectExtent l="0" t="0" r="0" b="0"/>
                  <wp:docPr id="18" name="Picture 18" descr="cid:image002.jpg@01D2D3D5.CB2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2.jpg@01D2D3D5.CB2D63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96100" cy="1303020"/>
                          </a:xfrm>
                          <a:prstGeom prst="rect">
                            <a:avLst/>
                          </a:prstGeom>
                          <a:noFill/>
                          <a:ln>
                            <a:noFill/>
                          </a:ln>
                        </pic:spPr>
                      </pic:pic>
                    </a:graphicData>
                  </a:graphic>
                </wp:inline>
              </w:drawing>
            </w:r>
          </w:p>
        </w:tc>
      </w:tr>
      <w:tr w:rsidR="007047D4" w14:paraId="78B47B8D" w14:textId="77777777" w:rsidTr="007047D4">
        <w:trPr>
          <w:trHeight w:val="9957"/>
          <w:tblCellSpacing w:w="30" w:type="dxa"/>
          <w:jc w:val="center"/>
        </w:trPr>
        <w:tc>
          <w:tcPr>
            <w:tcW w:w="11533" w:type="dxa"/>
            <w:gridSpan w:val="2"/>
            <w:tcMar>
              <w:top w:w="150" w:type="dxa"/>
              <w:left w:w="345" w:type="dxa"/>
              <w:bottom w:w="300" w:type="dxa"/>
              <w:right w:w="345" w:type="dxa"/>
            </w:tcMar>
          </w:tcPr>
          <w:p w14:paraId="64E71F63" w14:textId="77777777" w:rsidR="007047D4" w:rsidRDefault="007047D4">
            <w:pPr>
              <w:pStyle w:val="NormalWeb"/>
              <w:rPr>
                <w:rFonts w:ascii="Century Gothic" w:hAnsi="Century Gothic"/>
                <w:color w:val="000000"/>
                <w:sz w:val="20"/>
                <w:szCs w:val="20"/>
                <w:lang w:eastAsia="en-US"/>
              </w:rPr>
            </w:pPr>
            <w:r>
              <w:rPr>
                <w:rStyle w:val="Emphasis"/>
                <w:rFonts w:ascii="Century Gothic" w:hAnsi="Century Gothic"/>
                <w:color w:val="000000"/>
                <w:sz w:val="20"/>
                <w:szCs w:val="20"/>
                <w:lang w:eastAsia="en-US"/>
              </w:rPr>
              <w:t>Your association or organization has been identified as a key stakeholder of the Canada Revenue Agency (CRA). We hope you will share the following information with your membership.</w:t>
            </w:r>
          </w:p>
          <w:p w14:paraId="11ABF727" w14:textId="77777777" w:rsidR="007047D4" w:rsidRDefault="007047D4">
            <w:pPr>
              <w:autoSpaceDE w:val="0"/>
              <w:autoSpaceDN w:val="0"/>
              <w:jc w:val="center"/>
              <w:rPr>
                <w:rFonts w:ascii="Century Gothic" w:hAnsi="Century Gothic"/>
                <w:b/>
                <w:bCs/>
                <w:color w:val="0070C0"/>
                <w:lang w:val="fr-CA"/>
              </w:rPr>
            </w:pPr>
            <w:r>
              <w:rPr>
                <w:rFonts w:ascii="Century Gothic" w:hAnsi="Century Gothic"/>
                <w:b/>
                <w:bCs/>
                <w:color w:val="0070C0"/>
                <w:lang w:val="fr-CA"/>
              </w:rPr>
              <w:t>English version ***La version française suit***</w:t>
            </w:r>
          </w:p>
          <w:p w14:paraId="0D355303" w14:textId="77777777" w:rsidR="007047D4" w:rsidRDefault="007047D4">
            <w:pPr>
              <w:jc w:val="center"/>
              <w:rPr>
                <w:rFonts w:ascii="Century Gothic" w:hAnsi="Century Gothic"/>
                <w:b/>
                <w:bCs/>
                <w:sz w:val="24"/>
                <w:szCs w:val="24"/>
                <w:lang w:val="fr-CA"/>
              </w:rPr>
            </w:pPr>
          </w:p>
          <w:p w14:paraId="51BE4446" w14:textId="77777777" w:rsidR="007047D4" w:rsidRDefault="007047D4">
            <w:pPr>
              <w:jc w:val="center"/>
              <w:rPr>
                <w:rFonts w:ascii="Century Gothic" w:hAnsi="Century Gothic"/>
                <w:b/>
                <w:bCs/>
                <w:sz w:val="26"/>
                <w:szCs w:val="26"/>
              </w:rPr>
            </w:pPr>
            <w:r>
              <w:rPr>
                <w:rFonts w:ascii="Century Gothic" w:hAnsi="Century Gothic"/>
                <w:b/>
                <w:bCs/>
                <w:sz w:val="26"/>
                <w:szCs w:val="26"/>
              </w:rPr>
              <w:t>Important information related to the Film and Media Tax Credits Program during the COVID-19 crisis</w:t>
            </w:r>
          </w:p>
          <w:sdt>
            <w:sdtPr>
              <w:rPr>
                <w:rFonts w:ascii="Century Gothic" w:eastAsia="Times New Roman" w:hAnsi="Century Gothic" w:cs="Times New Roman"/>
                <w:sz w:val="24"/>
                <w:szCs w:val="24"/>
                <w:lang w:eastAsia="en-CA"/>
              </w:rPr>
              <w:id w:val="869036447"/>
            </w:sdtPr>
            <w:sdtEndPr/>
            <w:sdtContent>
              <w:sdt>
                <w:sdtPr>
                  <w:rPr>
                    <w:rFonts w:ascii="Century Gothic" w:hAnsi="Century Gothic" w:cs="Times New Roman"/>
                    <w:sz w:val="24"/>
                    <w:szCs w:val="24"/>
                    <w:lang w:eastAsia="en-CA"/>
                  </w:rPr>
                  <w:id w:val="-18704511"/>
                </w:sdtPr>
                <w:sdtEndPr/>
                <w:sdtContent>
                  <w:p w14:paraId="0B4E1563" w14:textId="77777777" w:rsidR="007047D4" w:rsidRDefault="007047D4">
                    <w:pPr>
                      <w:rPr>
                        <w:rFonts w:ascii="Century Gothic" w:hAnsi="Century Gothic"/>
                        <w:sz w:val="24"/>
                        <w:szCs w:val="24"/>
                        <w:lang w:eastAsia="en-CA"/>
                      </w:rPr>
                    </w:pPr>
                  </w:p>
                  <w:p w14:paraId="4D973647" w14:textId="77777777" w:rsidR="007047D4" w:rsidRDefault="007047D4">
                    <w:pPr>
                      <w:rPr>
                        <w:rFonts w:ascii="Century Gothic" w:hAnsi="Century Gothic"/>
                        <w:sz w:val="24"/>
                        <w:szCs w:val="24"/>
                        <w:lang w:eastAsia="en-CA"/>
                      </w:rPr>
                    </w:pPr>
                    <w:r>
                      <w:rPr>
                        <w:rFonts w:ascii="Century Gothic" w:hAnsi="Century Gothic"/>
                        <w:sz w:val="24"/>
                        <w:szCs w:val="24"/>
                        <w:lang w:eastAsia="en-CA"/>
                      </w:rPr>
                      <w:t>The Canadian film industry is an important contributor to the economic and cultural well</w:t>
                    </w:r>
                    <w:r>
                      <w:rPr>
                        <w:rFonts w:ascii="Century Gothic" w:hAnsi="Century Gothic"/>
                        <w:sz w:val="24"/>
                        <w:szCs w:val="24"/>
                        <w:lang w:eastAsia="en-CA"/>
                      </w:rPr>
                      <w:noBreakHyphen/>
                      <w:t>being of Canada. We recognize the vital role that the Film and Media Tax Credits (FMTC) Program plays in supporting a vibrant film industry and we are doing everything we can to ensure that businesses receive their credits as soon as possible during these difficult times.</w:t>
                    </w:r>
                  </w:p>
                  <w:p w14:paraId="3D0A2E4A" w14:textId="77777777" w:rsidR="007047D4" w:rsidRDefault="007047D4">
                    <w:pPr>
                      <w:rPr>
                        <w:rFonts w:ascii="Century Gothic" w:hAnsi="Century Gothic"/>
                        <w:sz w:val="24"/>
                        <w:szCs w:val="24"/>
                        <w:lang w:eastAsia="en-CA"/>
                      </w:rPr>
                    </w:pPr>
                  </w:p>
                  <w:p w14:paraId="4A9EA752" w14:textId="77777777" w:rsidR="007047D4" w:rsidRDefault="007047D4">
                    <w:pPr>
                      <w:rPr>
                        <w:rFonts w:ascii="Century Gothic" w:hAnsi="Century Gothic"/>
                        <w:sz w:val="24"/>
                        <w:szCs w:val="24"/>
                        <w:lang w:eastAsia="en-CA"/>
                      </w:rPr>
                    </w:pPr>
                    <w:r>
                      <w:rPr>
                        <w:rFonts w:ascii="Century Gothic" w:hAnsi="Century Gothic"/>
                        <w:sz w:val="24"/>
                        <w:szCs w:val="24"/>
                        <w:lang w:eastAsia="en-CA"/>
                      </w:rPr>
                      <w:t>The Canada Revenue Agency (CRA) is adjusting its priority activities to support the economic well-being of Canadians and Canadian businesses. This includes programs like FMTC.</w:t>
                    </w:r>
                  </w:p>
                  <w:p w14:paraId="4385D7D8" w14:textId="77777777" w:rsidR="007047D4" w:rsidRDefault="007047D4">
                    <w:pPr>
                      <w:rPr>
                        <w:rFonts w:ascii="Century Gothic" w:hAnsi="Century Gothic"/>
                        <w:sz w:val="24"/>
                        <w:szCs w:val="24"/>
                        <w:lang w:eastAsia="en-CA"/>
                      </w:rPr>
                    </w:pPr>
                  </w:p>
                  <w:p w14:paraId="00B65842" w14:textId="77777777" w:rsidR="007047D4" w:rsidRDefault="007047D4">
                    <w:pPr>
                      <w:rPr>
                        <w:rFonts w:ascii="Century Gothic" w:hAnsi="Century Gothic"/>
                        <w:sz w:val="24"/>
                        <w:szCs w:val="24"/>
                        <w:lang w:eastAsia="en-CA"/>
                      </w:rPr>
                    </w:pPr>
                    <w:r>
                      <w:rPr>
                        <w:rFonts w:ascii="Century Gothic" w:hAnsi="Century Gothic"/>
                        <w:sz w:val="24"/>
                        <w:szCs w:val="24"/>
                        <w:lang w:eastAsia="en-CA"/>
                      </w:rPr>
                      <w:t>Given the exceptional situation that is currently affecting us all, we are doing everything we can to ensure that claimants receive the credits they are entitled to as quickly as possible, and that the auditors of the FMTC Program receive the support and guidance necessary to prioritize the processing of claims. Here are some measures the CRA is implementing:</w:t>
                    </w:r>
                  </w:p>
                  <w:p w14:paraId="6E6486D5" w14:textId="77777777" w:rsidR="007047D4" w:rsidRDefault="007047D4">
                    <w:pPr>
                      <w:rPr>
                        <w:rFonts w:ascii="Century Gothic" w:hAnsi="Century Gothic"/>
                        <w:sz w:val="24"/>
                        <w:szCs w:val="24"/>
                        <w:lang w:eastAsia="en-CA"/>
                      </w:rPr>
                    </w:pPr>
                  </w:p>
                  <w:p w14:paraId="219595B0" w14:textId="77777777" w:rsidR="007047D4" w:rsidRDefault="007047D4" w:rsidP="006D4F9C">
                    <w:pPr>
                      <w:pStyle w:val="BodyText"/>
                      <w:numPr>
                        <w:ilvl w:val="0"/>
                        <w:numId w:val="1"/>
                      </w:numPr>
                      <w:spacing w:line="240" w:lineRule="auto"/>
                      <w:ind w:left="714" w:hanging="357"/>
                      <w:rPr>
                        <w:sz w:val="24"/>
                        <w:szCs w:val="24"/>
                        <w:lang w:eastAsia="en-CA"/>
                      </w:rPr>
                    </w:pPr>
                    <w:r>
                      <w:rPr>
                        <w:sz w:val="24"/>
                        <w:szCs w:val="24"/>
                      </w:rPr>
                      <w:t>Most claims will be processed as soon as possible with minimal burden on the claimants, injecting funding into businesses that need it now to help manage the adverse financial implications of the pandemic. Please note that claims accepted at this time could be subject to audit at a future date.</w:t>
                    </w:r>
                  </w:p>
                  <w:p w14:paraId="029C4D25" w14:textId="77777777" w:rsidR="007047D4" w:rsidRDefault="007047D4" w:rsidP="006D4F9C">
                    <w:pPr>
                      <w:pStyle w:val="BodyText"/>
                      <w:numPr>
                        <w:ilvl w:val="0"/>
                        <w:numId w:val="1"/>
                      </w:numPr>
                      <w:spacing w:line="240" w:lineRule="auto"/>
                      <w:ind w:left="714" w:hanging="357"/>
                      <w:rPr>
                        <w:sz w:val="24"/>
                        <w:szCs w:val="24"/>
                      </w:rPr>
                    </w:pPr>
                    <w:r>
                      <w:rPr>
                        <w:sz w:val="24"/>
                        <w:szCs w:val="24"/>
                      </w:rPr>
                      <w:t>Currently, the CRA will generally not contact businesses to initiate audits until further notice.</w:t>
                    </w:r>
                    <w:r>
                      <w:rPr>
                        <w:color w:val="FF0000"/>
                        <w:sz w:val="24"/>
                        <w:szCs w:val="24"/>
                      </w:rPr>
                      <w:t xml:space="preserve"> </w:t>
                    </w:r>
                    <w:r>
                      <w:rPr>
                        <w:sz w:val="24"/>
                        <w:szCs w:val="24"/>
                      </w:rPr>
                      <w:t>This pause is reflective of the CRA’s efforts to mitigate health risks and minimize the burden on businesses, while concentrating on prioritizing the delivery of benefits to Canadians during this challenging time.</w:t>
                    </w:r>
                  </w:p>
                  <w:p w14:paraId="41482D81" w14:textId="77777777" w:rsidR="007047D4" w:rsidRDefault="007047D4" w:rsidP="006D4F9C">
                    <w:pPr>
                      <w:pStyle w:val="BodyText"/>
                      <w:numPr>
                        <w:ilvl w:val="0"/>
                        <w:numId w:val="1"/>
                      </w:numPr>
                      <w:spacing w:line="240" w:lineRule="auto"/>
                      <w:ind w:left="714" w:hanging="357"/>
                      <w:rPr>
                        <w:sz w:val="24"/>
                        <w:szCs w:val="24"/>
                      </w:rPr>
                    </w:pPr>
                    <w:r>
                      <w:rPr>
                        <w:sz w:val="24"/>
                        <w:szCs w:val="24"/>
                      </w:rPr>
                      <w:t xml:space="preserve">Any taxpayer who’s claim is under audit who wishes or needs their audit to proceed may contact their auditor by telephone or through </w:t>
                    </w:r>
                    <w:hyperlink r:id="rId7" w:history="1">
                      <w:r>
                        <w:rPr>
                          <w:rStyle w:val="Hyperlink"/>
                          <w:sz w:val="24"/>
                          <w:szCs w:val="24"/>
                        </w:rPr>
                        <w:t>My Business Account</w:t>
                      </w:r>
                    </w:hyperlink>
                    <w:r>
                      <w:rPr>
                        <w:sz w:val="24"/>
                        <w:szCs w:val="24"/>
                      </w:rPr>
                      <w:t xml:space="preserve"> to advance the file as much as possible under the current circumstances.</w:t>
                    </w:r>
                  </w:p>
                  <w:p w14:paraId="09067606" w14:textId="77777777" w:rsidR="007047D4" w:rsidRDefault="007047D4" w:rsidP="006D4F9C">
                    <w:pPr>
                      <w:pStyle w:val="BodyText"/>
                      <w:numPr>
                        <w:ilvl w:val="0"/>
                        <w:numId w:val="1"/>
                      </w:numPr>
                      <w:spacing w:line="240" w:lineRule="auto"/>
                      <w:ind w:left="714" w:hanging="357"/>
                      <w:rPr>
                        <w:sz w:val="24"/>
                        <w:szCs w:val="24"/>
                      </w:rPr>
                    </w:pPr>
                    <w:r>
                      <w:rPr>
                        <w:sz w:val="24"/>
                        <w:szCs w:val="24"/>
                      </w:rPr>
                      <w:lastRenderedPageBreak/>
                      <w:t xml:space="preserve">If you have questions about the status of your FMTC claim, we continue to be available to help. Please contact the </w:t>
                    </w:r>
                    <w:hyperlink r:id="rId8" w:history="1">
                      <w:r>
                        <w:rPr>
                          <w:rStyle w:val="Hyperlink"/>
                          <w:sz w:val="24"/>
                          <w:szCs w:val="24"/>
                        </w:rPr>
                        <w:t>film services unit</w:t>
                      </w:r>
                    </w:hyperlink>
                    <w:r>
                      <w:rPr>
                        <w:sz w:val="24"/>
                        <w:szCs w:val="24"/>
                      </w:rPr>
                      <w:t xml:space="preserve"> in your area.</w:t>
                    </w:r>
                  </w:p>
                  <w:p w14:paraId="57EA8B96" w14:textId="77777777" w:rsidR="007047D4" w:rsidRDefault="007047D4" w:rsidP="006D4F9C">
                    <w:pPr>
                      <w:pStyle w:val="BodyText"/>
                      <w:numPr>
                        <w:ilvl w:val="0"/>
                        <w:numId w:val="1"/>
                      </w:numPr>
                      <w:spacing w:after="240" w:line="240" w:lineRule="auto"/>
                      <w:ind w:left="714" w:hanging="357"/>
                      <w:rPr>
                        <w:sz w:val="24"/>
                        <w:szCs w:val="24"/>
                      </w:rPr>
                    </w:pPr>
                    <w:r>
                      <w:rPr>
                        <w:sz w:val="24"/>
                        <w:szCs w:val="24"/>
                      </w:rPr>
                      <w:t xml:space="preserve">Should you have questions on other topics such as filing and payment deadlines and proactive relief measures, the CRA’s liaison officers will be available exclusively by phone to provide the key information that small businesses and self-employed individuals need most urgently. Business owners and self-employed individuals can fill out the </w:t>
                    </w:r>
                    <w:hyperlink r:id="rId9" w:history="1">
                      <w:r>
                        <w:rPr>
                          <w:rStyle w:val="Hyperlink"/>
                          <w:sz w:val="24"/>
                          <w:szCs w:val="24"/>
                        </w:rPr>
                        <w:t>Liaison Officer Service request form</w:t>
                      </w:r>
                    </w:hyperlink>
                    <w:r>
                      <w:rPr>
                        <w:sz w:val="24"/>
                        <w:szCs w:val="24"/>
                      </w:rPr>
                      <w:t xml:space="preserve"> to have a liaison officer contact them by phone.</w:t>
                    </w:r>
                  </w:p>
                  <w:p w14:paraId="5BF9D74D" w14:textId="77777777" w:rsidR="007047D4" w:rsidRDefault="007047D4">
                    <w:pPr>
                      <w:pStyle w:val="NoSpacing"/>
                      <w:rPr>
                        <w:rFonts w:ascii="Century Gothic" w:hAnsi="Century Gothic"/>
                        <w:b/>
                        <w:bCs/>
                        <w:sz w:val="24"/>
                        <w:szCs w:val="24"/>
                      </w:rPr>
                    </w:pPr>
                    <w:r>
                      <w:rPr>
                        <w:rFonts w:ascii="Century Gothic" w:hAnsi="Century Gothic"/>
                        <w:b/>
                        <w:bCs/>
                        <w:sz w:val="24"/>
                        <w:szCs w:val="24"/>
                      </w:rPr>
                      <w:t>For more information</w:t>
                    </w:r>
                  </w:p>
                  <w:p w14:paraId="1AC58EB3" w14:textId="77777777" w:rsidR="007047D4" w:rsidRDefault="007047D4">
                    <w:pPr>
                      <w:pStyle w:val="NoSpacing"/>
                      <w:rPr>
                        <w:rFonts w:ascii="Century Gothic" w:hAnsi="Century Gothic"/>
                        <w:b/>
                        <w:bCs/>
                        <w:sz w:val="24"/>
                        <w:szCs w:val="24"/>
                      </w:rPr>
                    </w:pPr>
                  </w:p>
                  <w:p w14:paraId="280027D2" w14:textId="77777777" w:rsidR="007047D4" w:rsidRDefault="007047D4">
                    <w:pPr>
                      <w:rPr>
                        <w:rFonts w:ascii="Century Gothic" w:hAnsi="Century Gothic"/>
                        <w:sz w:val="24"/>
                        <w:szCs w:val="24"/>
                      </w:rPr>
                    </w:pPr>
                    <w:r>
                      <w:rPr>
                        <w:rFonts w:ascii="Century Gothic" w:hAnsi="Century Gothic"/>
                        <w:sz w:val="24"/>
                        <w:szCs w:val="24"/>
                      </w:rPr>
                      <w:t xml:space="preserve">We thank you all for your patience as we navigate through this situation together. To learn more about how the CRA is helping Canadians with the economic impact of the COVID-19 Pandemic, go to </w:t>
                    </w:r>
                    <w:hyperlink r:id="rId10" w:history="1">
                      <w:r>
                        <w:rPr>
                          <w:rStyle w:val="Hyperlink"/>
                          <w:rFonts w:ascii="Century Gothic" w:hAnsi="Century Gothic"/>
                          <w:sz w:val="24"/>
                          <w:szCs w:val="24"/>
                        </w:rPr>
                        <w:t>Changes to taxes and benefits: CRA and COVID-19</w:t>
                      </w:r>
                    </w:hyperlink>
                    <w:r>
                      <w:rPr>
                        <w:rFonts w:ascii="Century Gothic" w:hAnsi="Century Gothic"/>
                        <w:sz w:val="24"/>
                        <w:szCs w:val="24"/>
                      </w:rPr>
                      <w:t>.</w:t>
                    </w:r>
                  </w:p>
                  <w:p w14:paraId="29045F02" w14:textId="77777777" w:rsidR="007047D4" w:rsidRDefault="007047D4">
                    <w:pPr>
                      <w:rPr>
                        <w:rFonts w:ascii="Century Gothic" w:hAnsi="Century Gothic"/>
                        <w:sz w:val="24"/>
                        <w:szCs w:val="24"/>
                      </w:rPr>
                    </w:pPr>
                  </w:p>
                  <w:p w14:paraId="27BDA0A7" w14:textId="77777777" w:rsidR="007047D4" w:rsidRDefault="007047D4">
                    <w:pPr>
                      <w:pStyle w:val="NormalWeb"/>
                      <w:spacing w:before="0" w:beforeAutospacing="0" w:after="0" w:afterAutospacing="0"/>
                      <w:rPr>
                        <w:rFonts w:ascii="Century Gothic" w:hAnsi="Century Gothic"/>
                        <w:sz w:val="22"/>
                        <w:szCs w:val="22"/>
                        <w:lang w:eastAsia="en-US"/>
                      </w:rPr>
                    </w:pPr>
                    <w:r>
                      <w:rPr>
                        <w:rFonts w:ascii="Century Gothic" w:hAnsi="Century Gothic"/>
                      </w:rPr>
                      <w:t xml:space="preserve">For general information on the FMTC Program, go to </w:t>
                    </w:r>
                    <w:hyperlink r:id="rId11" w:history="1">
                      <w:r>
                        <w:rPr>
                          <w:rStyle w:val="Hyperlink"/>
                          <w:rFonts w:ascii="Century Gothic" w:hAnsi="Century Gothic"/>
                        </w:rPr>
                        <w:t>canada.ca/taxes-film</w:t>
                      </w:r>
                    </w:hyperlink>
                    <w:r>
                      <w:rPr>
                        <w:rFonts w:ascii="Century Gothic" w:hAnsi="Century Gothic"/>
                      </w:rPr>
                      <w:t>.</w:t>
                    </w:r>
                  </w:p>
                </w:sdtContent>
              </w:sdt>
            </w:sdtContent>
          </w:sdt>
          <w:p w14:paraId="30C8E0BD" w14:textId="77777777" w:rsidR="007047D4" w:rsidRDefault="007047D4">
            <w:pPr>
              <w:spacing w:before="100" w:beforeAutospacing="1" w:after="100" w:afterAutospacing="1"/>
              <w:rPr>
                <w:sz w:val="24"/>
                <w:szCs w:val="24"/>
                <w:lang w:val="en" w:eastAsia="en-CA"/>
              </w:rPr>
            </w:pPr>
            <w:r>
              <w:rPr>
                <w:rStyle w:val="Strong"/>
                <w:rFonts w:ascii="Century Gothic" w:hAnsi="Century Gothic"/>
                <w:color w:val="000000"/>
                <w:sz w:val="24"/>
                <w:szCs w:val="24"/>
              </w:rPr>
              <w:t>Stay connected</w:t>
            </w:r>
          </w:p>
          <w:p w14:paraId="256283BC" w14:textId="77777777" w:rsidR="007047D4" w:rsidRDefault="007047D4">
            <w:pPr>
              <w:shd w:val="clear" w:color="auto" w:fill="FFFFFF"/>
              <w:rPr>
                <w:rFonts w:ascii="Century Gothic" w:hAnsi="Century Gothic"/>
                <w:lang w:val="en"/>
              </w:rPr>
            </w:pPr>
            <w:r>
              <w:rPr>
                <w:rFonts w:ascii="Century Gothic" w:hAnsi="Century Gothic"/>
                <w:lang w:val="en"/>
              </w:rPr>
              <w:t>To receive updates on what is new at the CRA, you can:</w:t>
            </w:r>
          </w:p>
          <w:p w14:paraId="4F648B4D" w14:textId="77777777" w:rsidR="007047D4" w:rsidRDefault="007047D4">
            <w:pPr>
              <w:shd w:val="clear" w:color="auto" w:fill="FFFFFF"/>
              <w:rPr>
                <w:rFonts w:ascii="Century Gothic" w:hAnsi="Century Gothic"/>
                <w:lang w:val="en"/>
              </w:rPr>
            </w:pPr>
          </w:p>
          <w:p w14:paraId="5F40F82A" w14:textId="77777777" w:rsidR="007047D4" w:rsidRDefault="007047D4" w:rsidP="006D4F9C">
            <w:pPr>
              <w:pStyle w:val="ListParagraph"/>
              <w:numPr>
                <w:ilvl w:val="0"/>
                <w:numId w:val="2"/>
              </w:numPr>
              <w:shd w:val="clear" w:color="auto" w:fill="FFFFFF"/>
              <w:autoSpaceDN w:val="0"/>
              <w:spacing w:after="0" w:line="240" w:lineRule="auto"/>
              <w:rPr>
                <w:rFonts w:ascii="Century Gothic" w:hAnsi="Century Gothic"/>
                <w:lang w:val="en-US"/>
              </w:rPr>
            </w:pPr>
            <w:r>
              <w:rPr>
                <w:noProof/>
                <w:lang w:eastAsia="en-CA"/>
              </w:rPr>
              <w:drawing>
                <wp:inline distT="0" distB="0" distL="0" distR="0" wp14:anchorId="68C75300" wp14:editId="41C82840">
                  <wp:extent cx="144780" cy="152400"/>
                  <wp:effectExtent l="0" t="0" r="7620" b="0"/>
                  <wp:docPr id="17" name="Picture 17" descr="cid:image002.jpg@01D3A731.3EF5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2.jpg@01D3A731.3EF536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rFonts w:ascii="Century Gothic" w:hAnsi="Century Gothic"/>
              </w:rPr>
              <w:t> Like the CRA on</w:t>
            </w:r>
            <w:r>
              <w:t xml:space="preserve"> </w:t>
            </w:r>
            <w:hyperlink r:id="rId14" w:history="1">
              <w:r>
                <w:rPr>
                  <w:rStyle w:val="Hyperlink"/>
                  <w:rFonts w:ascii="Century Gothic" w:hAnsi="Century Gothic"/>
                </w:rPr>
                <w:t>Facebook</w:t>
              </w:r>
            </w:hyperlink>
          </w:p>
          <w:p w14:paraId="5A7D5260" w14:textId="77777777" w:rsidR="007047D4" w:rsidRDefault="007047D4" w:rsidP="006D4F9C">
            <w:pPr>
              <w:pStyle w:val="ListParagraph"/>
              <w:numPr>
                <w:ilvl w:val="0"/>
                <w:numId w:val="2"/>
              </w:numPr>
              <w:shd w:val="clear" w:color="auto" w:fill="FFFFFF"/>
              <w:autoSpaceDN w:val="0"/>
              <w:spacing w:after="0" w:line="240" w:lineRule="auto"/>
              <w:ind w:left="714" w:hanging="357"/>
              <w:rPr>
                <w:rFonts w:ascii="Century Gothic" w:hAnsi="Century Gothic"/>
                <w:lang w:val="en-US"/>
              </w:rPr>
            </w:pPr>
            <w:r>
              <w:rPr>
                <w:rFonts w:ascii="Century Gothic" w:hAnsi="Century Gothic"/>
                <w:noProof/>
                <w:sz w:val="24"/>
                <w:szCs w:val="24"/>
                <w:lang w:eastAsia="en-CA"/>
              </w:rPr>
              <w:drawing>
                <wp:inline distT="0" distB="0" distL="0" distR="0" wp14:anchorId="36BD05C1" wp14:editId="0C92832D">
                  <wp:extent cx="152400" cy="152400"/>
                  <wp:effectExtent l="0" t="0" r="0" b="0"/>
                  <wp:docPr id="16" name="Picture 16"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entury Gothic" w:hAnsi="Century Gothic"/>
                <w:lang w:val="en-US"/>
              </w:rPr>
              <w:t> </w:t>
            </w:r>
            <w:r>
              <w:rPr>
                <w:rFonts w:ascii="Century Gothic" w:hAnsi="Century Gothic"/>
                <w:lang w:val="en"/>
              </w:rPr>
              <w:t xml:space="preserve">Follow the CRA on Twitter - </w:t>
            </w:r>
            <w:hyperlink r:id="rId17" w:anchor="_blank" w:history="1">
              <w:r>
                <w:rPr>
                  <w:rStyle w:val="Hyperlink"/>
                  <w:rFonts w:ascii="Century Gothic" w:hAnsi="Century Gothic"/>
                  <w:lang w:val="en"/>
                </w:rPr>
                <w:t>@</w:t>
              </w:r>
              <w:proofErr w:type="spellStart"/>
              <w:r>
                <w:rPr>
                  <w:rStyle w:val="Hyperlink"/>
                  <w:rFonts w:ascii="Century Gothic" w:hAnsi="Century Gothic"/>
                  <w:lang w:val="en"/>
                </w:rPr>
                <w:t>CanRevAgency</w:t>
              </w:r>
              <w:proofErr w:type="spellEnd"/>
            </w:hyperlink>
            <w:r>
              <w:rPr>
                <w:rFonts w:ascii="Century Gothic" w:hAnsi="Century Gothic"/>
                <w:lang w:val="en"/>
              </w:rPr>
              <w:t>.</w:t>
            </w:r>
          </w:p>
          <w:p w14:paraId="14CE1507" w14:textId="77777777" w:rsidR="007047D4" w:rsidRDefault="007047D4" w:rsidP="006D4F9C">
            <w:pPr>
              <w:numPr>
                <w:ilvl w:val="0"/>
                <w:numId w:val="2"/>
              </w:numPr>
              <w:ind w:left="714" w:hanging="357"/>
              <w:rPr>
                <w:rFonts w:ascii="Century Gothic" w:hAnsi="Century Gothic"/>
                <w:lang w:val="en"/>
              </w:rPr>
            </w:pPr>
            <w:r>
              <w:rPr>
                <w:rFonts w:ascii="Century Gothic" w:hAnsi="Century Gothic"/>
                <w:noProof/>
                <w:lang w:eastAsia="en-CA"/>
              </w:rPr>
              <w:drawing>
                <wp:inline distT="0" distB="0" distL="0" distR="0" wp14:anchorId="6BBF0274" wp14:editId="19CE0352">
                  <wp:extent cx="137160" cy="137160"/>
                  <wp:effectExtent l="0" t="0" r="0" b="0"/>
                  <wp:docPr id="15" name="Picture 15" descr="In-2C-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2C-14px"/>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Century Gothic" w:hAnsi="Century Gothic"/>
                <w:lang w:val="en-US"/>
              </w:rPr>
              <w:t xml:space="preserve"> Follow the CRA on </w:t>
            </w:r>
            <w:hyperlink r:id="rId20" w:history="1">
              <w:r>
                <w:rPr>
                  <w:rStyle w:val="Hyperlink"/>
                  <w:rFonts w:ascii="Century Gothic" w:hAnsi="Century Gothic"/>
                  <w:lang w:val="en-US"/>
                </w:rPr>
                <w:t>LinkedIn</w:t>
              </w:r>
            </w:hyperlink>
            <w:r>
              <w:rPr>
                <w:rFonts w:ascii="Century Gothic" w:hAnsi="Century Gothic"/>
                <w:lang w:val="en"/>
              </w:rPr>
              <w:t>.</w:t>
            </w:r>
          </w:p>
          <w:p w14:paraId="41097374" w14:textId="77777777" w:rsidR="007047D4" w:rsidRDefault="007047D4" w:rsidP="006D4F9C">
            <w:pPr>
              <w:pStyle w:val="ListParagraph"/>
              <w:numPr>
                <w:ilvl w:val="0"/>
                <w:numId w:val="2"/>
              </w:numPr>
              <w:shd w:val="clear" w:color="auto" w:fill="FFFFFF"/>
              <w:autoSpaceDN w:val="0"/>
              <w:spacing w:after="0" w:line="240" w:lineRule="auto"/>
              <w:ind w:left="714" w:hanging="357"/>
              <w:rPr>
                <w:rFonts w:ascii="Century Gothic" w:hAnsi="Century Gothic"/>
                <w:lang w:val="en-US"/>
              </w:rPr>
            </w:pPr>
            <w:r>
              <w:rPr>
                <w:rFonts w:ascii="Century Gothic" w:hAnsi="Century Gothic"/>
                <w:noProof/>
                <w:sz w:val="24"/>
                <w:szCs w:val="24"/>
                <w:lang w:eastAsia="en-CA"/>
              </w:rPr>
              <w:drawing>
                <wp:inline distT="0" distB="0" distL="0" distR="0" wp14:anchorId="0F6218EA" wp14:editId="41627E5B">
                  <wp:extent cx="152400" cy="152400"/>
                  <wp:effectExtent l="0" t="0" r="0" b="0"/>
                  <wp:docPr id="14" name="Picture 14"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ico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entury Gothic" w:hAnsi="Century Gothic"/>
                <w:lang w:val="en-US"/>
              </w:rPr>
              <w:t> </w:t>
            </w:r>
            <w:r>
              <w:rPr>
                <w:rFonts w:ascii="Century Gothic" w:hAnsi="Century Gothic"/>
                <w:lang w:val="en"/>
              </w:rPr>
              <w:t xml:space="preserve">Subscribe to a CRA </w:t>
            </w:r>
            <w:hyperlink r:id="rId23" w:anchor="_blank" w:history="1">
              <w:r>
                <w:rPr>
                  <w:rStyle w:val="Hyperlink"/>
                  <w:rFonts w:ascii="Century Gothic" w:hAnsi="Century Gothic"/>
                  <w:lang w:val="en"/>
                </w:rPr>
                <w:t>electronic mailing list</w:t>
              </w:r>
            </w:hyperlink>
            <w:r>
              <w:rPr>
                <w:rFonts w:ascii="Century Gothic" w:hAnsi="Century Gothic"/>
                <w:lang w:val="en"/>
              </w:rPr>
              <w:t>.</w:t>
            </w:r>
          </w:p>
          <w:p w14:paraId="229EEEAD" w14:textId="77777777" w:rsidR="007047D4" w:rsidRDefault="007047D4" w:rsidP="006D4F9C">
            <w:pPr>
              <w:pStyle w:val="ListParagraph"/>
              <w:numPr>
                <w:ilvl w:val="0"/>
                <w:numId w:val="2"/>
              </w:numPr>
              <w:shd w:val="clear" w:color="auto" w:fill="FFFFFF"/>
              <w:autoSpaceDN w:val="0"/>
              <w:spacing w:after="0" w:line="240" w:lineRule="auto"/>
              <w:ind w:left="714" w:hanging="357"/>
              <w:rPr>
                <w:rFonts w:ascii="Century Gothic" w:hAnsi="Century Gothic"/>
                <w:lang w:val="en"/>
              </w:rPr>
            </w:pPr>
            <w:r>
              <w:rPr>
                <w:rFonts w:ascii="Century Gothic" w:hAnsi="Century Gothic"/>
                <w:noProof/>
                <w:sz w:val="24"/>
                <w:szCs w:val="24"/>
                <w:lang w:eastAsia="en-CA"/>
              </w:rPr>
              <w:drawing>
                <wp:inline distT="0" distB="0" distL="0" distR="0" wp14:anchorId="7A964F7B" wp14:editId="73742D7F">
                  <wp:extent cx="152400" cy="152400"/>
                  <wp:effectExtent l="0" t="0" r="0" b="0"/>
                  <wp:docPr id="13" name="Picture 13" descr="R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S ico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entury Gothic" w:hAnsi="Century Gothic"/>
                <w:lang w:val="en-US"/>
              </w:rPr>
              <w:t> </w:t>
            </w:r>
            <w:r>
              <w:rPr>
                <w:rFonts w:ascii="Century Gothic" w:hAnsi="Century Gothic"/>
                <w:lang w:val="en"/>
              </w:rPr>
              <w:t xml:space="preserve">Add our </w:t>
            </w:r>
            <w:hyperlink r:id="rId26" w:anchor="_blank" w:history="1">
              <w:r>
                <w:rPr>
                  <w:rStyle w:val="Hyperlink"/>
                  <w:rFonts w:ascii="Century Gothic" w:hAnsi="Century Gothic"/>
                  <w:lang w:val="en"/>
                </w:rPr>
                <w:t>RSS feeds</w:t>
              </w:r>
            </w:hyperlink>
            <w:r>
              <w:rPr>
                <w:rFonts w:ascii="Century Gothic" w:hAnsi="Century Gothic"/>
              </w:rPr>
              <w:t xml:space="preserve"> </w:t>
            </w:r>
            <w:r>
              <w:rPr>
                <w:rFonts w:ascii="Century Gothic" w:hAnsi="Century Gothic"/>
                <w:lang w:val="en"/>
              </w:rPr>
              <w:t>to your feed reader.</w:t>
            </w:r>
          </w:p>
          <w:p w14:paraId="46372BE7" w14:textId="77777777" w:rsidR="007047D4" w:rsidRDefault="007047D4" w:rsidP="006D4F9C">
            <w:pPr>
              <w:pStyle w:val="ListParagraph"/>
              <w:numPr>
                <w:ilvl w:val="0"/>
                <w:numId w:val="2"/>
              </w:numPr>
              <w:shd w:val="clear" w:color="auto" w:fill="FFFFFF"/>
              <w:autoSpaceDN w:val="0"/>
              <w:spacing w:after="0" w:line="240" w:lineRule="auto"/>
              <w:ind w:left="714" w:hanging="357"/>
              <w:rPr>
                <w:rFonts w:ascii="Century Gothic" w:hAnsi="Century Gothic"/>
                <w:color w:val="1F497D"/>
                <w:lang w:val="en-US"/>
              </w:rPr>
            </w:pPr>
            <w:r>
              <w:rPr>
                <w:rFonts w:ascii="Century Gothic" w:hAnsi="Century Gothic"/>
                <w:noProof/>
                <w:sz w:val="24"/>
                <w:szCs w:val="24"/>
                <w:lang w:eastAsia="en-CA"/>
              </w:rPr>
              <w:drawing>
                <wp:inline distT="0" distB="0" distL="0" distR="0" wp14:anchorId="4B025F3E" wp14:editId="350C9BF9">
                  <wp:extent cx="152400" cy="152400"/>
                  <wp:effectExtent l="0" t="0" r="0" b="0"/>
                  <wp:docPr id="12" name="Picture 12"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ico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entury Gothic" w:hAnsi="Century Gothic"/>
                <w:lang w:val="en-US"/>
              </w:rPr>
              <w:t> </w:t>
            </w:r>
            <w:r>
              <w:rPr>
                <w:rFonts w:ascii="Century Gothic" w:hAnsi="Century Gothic"/>
                <w:lang w:val="en"/>
              </w:rPr>
              <w:t xml:space="preserve">Watch our tax-related videos on </w:t>
            </w:r>
            <w:hyperlink r:id="rId29" w:anchor="_blank" w:history="1">
              <w:r>
                <w:rPr>
                  <w:rStyle w:val="Hyperlink"/>
                  <w:rFonts w:ascii="Century Gothic" w:hAnsi="Century Gothic"/>
                  <w:lang w:val="en"/>
                </w:rPr>
                <w:t>YouTube</w:t>
              </w:r>
            </w:hyperlink>
            <w:r>
              <w:rPr>
                <w:rFonts w:ascii="Century Gothic" w:hAnsi="Century Gothic"/>
                <w:lang w:val="en"/>
              </w:rPr>
              <w:t>.</w:t>
            </w:r>
          </w:p>
          <w:p w14:paraId="4D9C1A94" w14:textId="77777777" w:rsidR="007047D4" w:rsidRDefault="007047D4">
            <w:pPr>
              <w:shd w:val="clear" w:color="auto" w:fill="FFFFFF"/>
              <w:autoSpaceDN w:val="0"/>
              <w:rPr>
                <w:rFonts w:ascii="Century Gothic" w:hAnsi="Century Gothic"/>
                <w:color w:val="1F497D"/>
                <w:lang w:val="en-US"/>
              </w:rPr>
            </w:pPr>
            <w:r>
              <w:rPr>
                <w:rFonts w:ascii="Century Gothic" w:hAnsi="Century Gothic"/>
                <w:noProof/>
                <w:color w:val="1F497D"/>
                <w:lang w:eastAsia="en-CA"/>
              </w:rPr>
              <w:drawing>
                <wp:inline distT="0" distB="0" distL="0" distR="0" wp14:anchorId="3FC8801D" wp14:editId="09E7BE84">
                  <wp:extent cx="6819900" cy="106680"/>
                  <wp:effectExtent l="0" t="0" r="0" b="7620"/>
                  <wp:docPr id="11" name="Picture 11" descr="cid:image015.png@01D2C5A8.142E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png@01D2C5A8.142E454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819900" cy="106680"/>
                          </a:xfrm>
                          <a:prstGeom prst="rect">
                            <a:avLst/>
                          </a:prstGeom>
                          <a:noFill/>
                          <a:ln>
                            <a:noFill/>
                          </a:ln>
                        </pic:spPr>
                      </pic:pic>
                    </a:graphicData>
                  </a:graphic>
                </wp:inline>
              </w:drawing>
            </w:r>
          </w:p>
        </w:tc>
      </w:tr>
      <w:tr w:rsidR="007047D4" w14:paraId="0535D8E7" w14:textId="77777777" w:rsidTr="007047D4">
        <w:trPr>
          <w:trHeight w:val="393"/>
          <w:tblCellSpacing w:w="30" w:type="dxa"/>
          <w:jc w:val="center"/>
        </w:trPr>
        <w:tc>
          <w:tcPr>
            <w:tcW w:w="7263" w:type="dxa"/>
            <w:vAlign w:val="center"/>
            <w:hideMark/>
          </w:tcPr>
          <w:p w14:paraId="3EF4BD9E" w14:textId="77777777" w:rsidR="007047D4" w:rsidRDefault="007047D4">
            <w:pPr>
              <w:rPr>
                <w:rFonts w:ascii="Century Gothic" w:hAnsi="Century Gothic"/>
                <w:color w:val="1F497D"/>
                <w:lang w:val="en-US"/>
              </w:rPr>
            </w:pPr>
            <w:r>
              <w:rPr>
                <w:noProof/>
                <w:lang w:eastAsia="en-CA"/>
              </w:rPr>
              <w:lastRenderedPageBreak/>
              <w:drawing>
                <wp:anchor distT="0" distB="0" distL="0" distR="0" simplePos="0" relativeHeight="251659264" behindDoc="0" locked="0" layoutInCell="1" allowOverlap="0" wp14:anchorId="1A848999" wp14:editId="699F7C89">
                  <wp:simplePos x="0" y="0"/>
                  <wp:positionH relativeFrom="column">
                    <wp:posOffset>0</wp:posOffset>
                  </wp:positionH>
                  <wp:positionV relativeFrom="page">
                    <wp:posOffset>0</wp:posOffset>
                  </wp:positionV>
                  <wp:extent cx="2025650" cy="188595"/>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5650" cy="188595"/>
                          </a:xfrm>
                          <a:prstGeom prst="rect">
                            <a:avLst/>
                          </a:prstGeom>
                          <a:noFill/>
                        </pic:spPr>
                      </pic:pic>
                    </a:graphicData>
                  </a:graphic>
                  <wp14:sizeRelH relativeFrom="page">
                    <wp14:pctWidth>0</wp14:pctWidth>
                  </wp14:sizeRelH>
                  <wp14:sizeRelV relativeFrom="page">
                    <wp14:pctHeight>0</wp14:pctHeight>
                  </wp14:sizeRelV>
                </wp:anchor>
              </w:drawing>
            </w:r>
          </w:p>
        </w:tc>
        <w:tc>
          <w:tcPr>
            <w:tcW w:w="4210" w:type="dxa"/>
            <w:vAlign w:val="center"/>
            <w:hideMark/>
          </w:tcPr>
          <w:p w14:paraId="4E1B37BB" w14:textId="77777777" w:rsidR="007047D4" w:rsidRDefault="007047D4">
            <w:pPr>
              <w:jc w:val="right"/>
              <w:rPr>
                <w:rFonts w:ascii="Century Gothic" w:hAnsi="Century Gothic"/>
                <w:sz w:val="24"/>
                <w:szCs w:val="24"/>
              </w:rPr>
            </w:pPr>
            <w:r>
              <w:rPr>
                <w:rFonts w:ascii="Century Gothic" w:hAnsi="Century Gothic"/>
                <w:noProof/>
                <w:sz w:val="24"/>
                <w:szCs w:val="24"/>
                <w:lang w:eastAsia="en-CA"/>
              </w:rPr>
              <w:drawing>
                <wp:inline distT="0" distB="0" distL="0" distR="0" wp14:anchorId="26797853" wp14:editId="1D09D8DA">
                  <wp:extent cx="1318260" cy="190500"/>
                  <wp:effectExtent l="0" t="0" r="0" b="0"/>
                  <wp:docPr id="10" name="Picture 10" descr="cid:image012.png@01D2D3D5.CB2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png@01D2D3D5.CB2D63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318260" cy="190500"/>
                          </a:xfrm>
                          <a:prstGeom prst="rect">
                            <a:avLst/>
                          </a:prstGeom>
                          <a:noFill/>
                          <a:ln>
                            <a:noFill/>
                          </a:ln>
                        </pic:spPr>
                      </pic:pic>
                    </a:graphicData>
                  </a:graphic>
                </wp:inline>
              </w:drawing>
            </w:r>
          </w:p>
        </w:tc>
      </w:tr>
      <w:tr w:rsidR="007047D4" w14:paraId="49E35C66" w14:textId="77777777" w:rsidTr="007047D4">
        <w:trPr>
          <w:trHeight w:val="196"/>
          <w:tblCellSpacing w:w="30" w:type="dxa"/>
          <w:jc w:val="center"/>
        </w:trPr>
        <w:tc>
          <w:tcPr>
            <w:tcW w:w="11533" w:type="dxa"/>
            <w:gridSpan w:val="2"/>
            <w:tcMar>
              <w:top w:w="120" w:type="dxa"/>
              <w:left w:w="90" w:type="dxa"/>
              <w:bottom w:w="120" w:type="dxa"/>
              <w:right w:w="90" w:type="dxa"/>
            </w:tcMar>
            <w:vAlign w:val="center"/>
            <w:hideMark/>
          </w:tcPr>
          <w:p w14:paraId="7DCED2D5" w14:textId="77777777" w:rsidR="007047D4" w:rsidRDefault="007047D4">
            <w:pPr>
              <w:rPr>
                <w:rFonts w:ascii="Century Gothic" w:hAnsi="Century Gothic"/>
                <w:color w:val="000000"/>
                <w:sz w:val="17"/>
                <w:szCs w:val="17"/>
              </w:rPr>
            </w:pPr>
            <w:r>
              <w:rPr>
                <w:rFonts w:ascii="Century Gothic" w:hAnsi="Century Gothic"/>
                <w:color w:val="000000"/>
                <w:sz w:val="17"/>
                <w:szCs w:val="17"/>
              </w:rPr>
              <w:t xml:space="preserve">If you do not want to receive emails from CRA/ARC Stakeholders – </w:t>
            </w:r>
            <w:proofErr w:type="spellStart"/>
            <w:r>
              <w:rPr>
                <w:rFonts w:ascii="Century Gothic" w:hAnsi="Century Gothic"/>
                <w:color w:val="000000"/>
                <w:sz w:val="17"/>
                <w:szCs w:val="17"/>
              </w:rPr>
              <w:t>Intervenants</w:t>
            </w:r>
            <w:proofErr w:type="spellEnd"/>
            <w:r>
              <w:rPr>
                <w:rFonts w:ascii="Century Gothic" w:hAnsi="Century Gothic"/>
                <w:color w:val="000000"/>
                <w:sz w:val="17"/>
                <w:szCs w:val="17"/>
              </w:rPr>
              <w:t>, please reply to this email and type "Unsubscribe" in the subject line.</w:t>
            </w:r>
          </w:p>
          <w:p w14:paraId="027B2913" w14:textId="77777777" w:rsidR="007047D4" w:rsidRDefault="00BB2BDE">
            <w:pPr>
              <w:jc w:val="center"/>
              <w:rPr>
                <w:rFonts w:ascii="Verdana" w:eastAsia="Times New Roman" w:hAnsi="Verdana"/>
                <w:color w:val="000000"/>
                <w:sz w:val="17"/>
                <w:szCs w:val="17"/>
              </w:rPr>
            </w:pPr>
            <w:r>
              <w:rPr>
                <w:rFonts w:ascii="Verdana" w:eastAsia="Times New Roman" w:hAnsi="Verdana"/>
                <w:color w:val="000000"/>
                <w:sz w:val="17"/>
                <w:szCs w:val="17"/>
              </w:rPr>
              <w:pict w14:anchorId="1DD0EEBA">
                <v:rect id="_x0000_i1025" style="width:468pt;height:1.2pt" o:hralign="center" o:hrstd="t" o:hr="t" fillcolor="#a0a0a0" stroked="f"/>
              </w:pict>
            </w:r>
          </w:p>
        </w:tc>
      </w:tr>
    </w:tbl>
    <w:p w14:paraId="325C8C20" w14:textId="77777777" w:rsidR="0008468F" w:rsidRDefault="0008468F"/>
    <w:sectPr w:rsidR="00084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8EA"/>
    <w:multiLevelType w:val="hybridMultilevel"/>
    <w:tmpl w:val="E32E2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F937D28"/>
    <w:multiLevelType w:val="hybridMultilevel"/>
    <w:tmpl w:val="F550BCAE"/>
    <w:lvl w:ilvl="0" w:tplc="E81613A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C395A27"/>
    <w:multiLevelType w:val="multilevel"/>
    <w:tmpl w:val="D3A265A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C462B"/>
    <w:multiLevelType w:val="hybridMultilevel"/>
    <w:tmpl w:val="4B1870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D4"/>
    <w:rsid w:val="0008468F"/>
    <w:rsid w:val="003B6723"/>
    <w:rsid w:val="007047D4"/>
    <w:rsid w:val="00BB2BDE"/>
    <w:rsid w:val="00E56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DCD3"/>
  <w15:chartTrackingRefBased/>
  <w15:docId w15:val="{DB25BE5A-D9C5-4046-88E0-DA983361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7D4"/>
    <w:rPr>
      <w:color w:val="0563C1"/>
      <w:u w:val="single"/>
    </w:rPr>
  </w:style>
  <w:style w:type="paragraph" w:styleId="NormalWeb">
    <w:name w:val="Normal (Web)"/>
    <w:basedOn w:val="Normal"/>
    <w:uiPriority w:val="99"/>
    <w:semiHidden/>
    <w:unhideWhenUsed/>
    <w:rsid w:val="007047D4"/>
    <w:pPr>
      <w:spacing w:before="100" w:beforeAutospacing="1" w:after="100" w:afterAutospacing="1"/>
    </w:pPr>
    <w:rPr>
      <w:rFonts w:ascii="Times New Roman" w:hAnsi="Times New Roman" w:cs="Times New Roman"/>
      <w:sz w:val="24"/>
      <w:szCs w:val="24"/>
      <w:lang w:eastAsia="en-CA"/>
    </w:rPr>
  </w:style>
  <w:style w:type="character" w:customStyle="1" w:styleId="BodyTextChar">
    <w:name w:val="Body Text Char"/>
    <w:aliases w:val="Industry Canada Body Text Char"/>
    <w:basedOn w:val="DefaultParagraphFont"/>
    <w:link w:val="BodyText"/>
    <w:uiPriority w:val="1"/>
    <w:semiHidden/>
    <w:locked/>
    <w:rsid w:val="007047D4"/>
    <w:rPr>
      <w:rFonts w:ascii="Century Gothic" w:hAnsi="Century Gothic"/>
    </w:rPr>
  </w:style>
  <w:style w:type="paragraph" w:styleId="BodyText">
    <w:name w:val="Body Text"/>
    <w:aliases w:val="Industry Canada Body Text"/>
    <w:basedOn w:val="Normal"/>
    <w:link w:val="BodyTextChar"/>
    <w:uiPriority w:val="1"/>
    <w:semiHidden/>
    <w:unhideWhenUsed/>
    <w:rsid w:val="007047D4"/>
    <w:pPr>
      <w:spacing w:after="120" w:line="260" w:lineRule="exact"/>
    </w:pPr>
    <w:rPr>
      <w:rFonts w:ascii="Century Gothic" w:hAnsi="Century Gothic" w:cstheme="minorBidi"/>
    </w:rPr>
  </w:style>
  <w:style w:type="character" w:customStyle="1" w:styleId="BodyTextChar1">
    <w:name w:val="Body Text Char1"/>
    <w:basedOn w:val="DefaultParagraphFont"/>
    <w:uiPriority w:val="99"/>
    <w:semiHidden/>
    <w:rsid w:val="007047D4"/>
    <w:rPr>
      <w:rFonts w:ascii="Calibri" w:hAnsi="Calibri" w:cs="Calibri"/>
    </w:rPr>
  </w:style>
  <w:style w:type="paragraph" w:styleId="NoSpacing">
    <w:name w:val="No Spacing"/>
    <w:basedOn w:val="Normal"/>
    <w:uiPriority w:val="1"/>
    <w:qFormat/>
    <w:rsid w:val="007047D4"/>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7047D4"/>
    <w:rPr>
      <w:rFonts w:ascii="Calibri" w:hAnsi="Calibri" w:cs="Calibri"/>
    </w:rPr>
  </w:style>
  <w:style w:type="paragraph" w:styleId="ListParagraph">
    <w:name w:val="List Paragraph"/>
    <w:aliases w:val="Dot pt,Liste 1,F5 List Paragraph,List Paragraph Char Char Char,Indicator Text,Numbered Para 1,Bullet 1,Bullet Points,List Paragraph2,MAIN CONTENT,Normal numbered,List Paragraph1,Issue Action POC,3,POCG Table Text,Colorful List - Accent 11"/>
    <w:basedOn w:val="Normal"/>
    <w:link w:val="ListParagraphChar"/>
    <w:uiPriority w:val="34"/>
    <w:qFormat/>
    <w:rsid w:val="007047D4"/>
    <w:pPr>
      <w:spacing w:after="200" w:line="276" w:lineRule="auto"/>
      <w:ind w:left="720"/>
      <w:contextualSpacing/>
    </w:pPr>
  </w:style>
  <w:style w:type="character" w:styleId="Emphasis">
    <w:name w:val="Emphasis"/>
    <w:basedOn w:val="DefaultParagraphFont"/>
    <w:uiPriority w:val="20"/>
    <w:qFormat/>
    <w:rsid w:val="007047D4"/>
    <w:rPr>
      <w:i/>
      <w:iCs/>
    </w:rPr>
  </w:style>
  <w:style w:type="character" w:styleId="Strong">
    <w:name w:val="Strong"/>
    <w:basedOn w:val="DefaultParagraphFont"/>
    <w:uiPriority w:val="22"/>
    <w:qFormat/>
    <w:rsid w:val="00704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9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ternational-non-residents/film-media-tax-credits/film-services-units.html?utm_source=stkhldrs&amp;utm_medium=eml&amp;utm_campaign=cvd19flmmdcrdt" TargetMode="External"/><Relationship Id="rId13" Type="http://schemas.openxmlformats.org/officeDocument/2006/relationships/image" Target="cid:image002.jpg@01D53E43.ACDBBAF0" TargetMode="External"/><Relationship Id="rId18" Type="http://schemas.openxmlformats.org/officeDocument/2006/relationships/image" Target="media/image4.png"/><Relationship Id="rId26" Type="http://schemas.openxmlformats.org/officeDocument/2006/relationships/hyperlink" Target="https://www.canada.ca/en/revenue-agency/services/e-services/feeds.html?utm_source=stkhldrs&amp;utm_medium=eml&amp;utm_campaign=cvd19flmmdcrdt"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image" Target="cid:image011.png@01D53E43.ACDBBAF0" TargetMode="External"/><Relationship Id="rId7" Type="http://schemas.openxmlformats.org/officeDocument/2006/relationships/hyperlink" Target="https://www.canada.ca/en/revenue-agency/services/e-services/e-services-businesses/business-account.html?utm_source=stkhldrs&amp;utm_medium=eml&amp;utm_campaign=cvd19flmmdcrdt" TargetMode="External"/><Relationship Id="rId12" Type="http://schemas.openxmlformats.org/officeDocument/2006/relationships/image" Target="media/image2.jpeg"/><Relationship Id="rId17" Type="http://schemas.openxmlformats.org/officeDocument/2006/relationships/hyperlink" Target="http://twitter.com/canrevagency" TargetMode="External"/><Relationship Id="rId25" Type="http://schemas.openxmlformats.org/officeDocument/2006/relationships/image" Target="cid:image006.gif@01D53E43.ACDBBAF0"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id:image003.gif@01D53E43.ACDBBAF0" TargetMode="External"/><Relationship Id="rId20" Type="http://schemas.openxmlformats.org/officeDocument/2006/relationships/hyperlink" Target="https://www.linkedin.com/company/cra-arc" TargetMode="External"/><Relationship Id="rId29" Type="http://schemas.openxmlformats.org/officeDocument/2006/relationships/hyperlink" Target="http://www.youtube.com/canrevagency" TargetMode="External"/><Relationship Id="rId1" Type="http://schemas.openxmlformats.org/officeDocument/2006/relationships/numbering" Target="numbering.xml"/><Relationship Id="rId6" Type="http://schemas.openxmlformats.org/officeDocument/2006/relationships/image" Target="cid:image001.jpg@01D53E43.ACDBBAF0" TargetMode="External"/><Relationship Id="rId11" Type="http://schemas.openxmlformats.org/officeDocument/2006/relationships/hyperlink" Target="http://www.canada.ca/taxes-film?utm_source=stkhldrs&amp;utm_medium=eml&amp;utm_campaign=cvd19flmmdcrdt" TargetMode="External"/><Relationship Id="rId24" Type="http://schemas.openxmlformats.org/officeDocument/2006/relationships/image" Target="media/image6.gif"/><Relationship Id="rId32"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image" Target="media/image3.gif"/><Relationship Id="rId23" Type="http://schemas.openxmlformats.org/officeDocument/2006/relationships/hyperlink" Target="https://www.canada.ca/en/revenue-agency/news/e-services/canada-revenue-electronic-mailing-lists/subscribe-a-canada-revenue-agency-electronic-mailing-list.html?utm_source=stkhldrs&amp;utm_medium=eml&amp;utm_campaign=cvd19flmmdcrdt" TargetMode="External"/><Relationship Id="rId28" Type="http://schemas.openxmlformats.org/officeDocument/2006/relationships/image" Target="cid:image007.gif@01D53E43.ACDBBAF0" TargetMode="External"/><Relationship Id="rId36" Type="http://schemas.openxmlformats.org/officeDocument/2006/relationships/theme" Target="theme/theme1.xml"/><Relationship Id="rId10" Type="http://schemas.openxmlformats.org/officeDocument/2006/relationships/hyperlink" Target="https://www.canada.ca/en/revenue-agency/campaigns/covid-19-update.html?utm_source=stkhldrs&amp;utm_medium=eml&amp;utm_campaign=cvd19flmmdcrdt" TargetMode="External"/><Relationship Id="rId19" Type="http://schemas.openxmlformats.org/officeDocument/2006/relationships/image" Target="cid:image004.png@01D53E43.ACDBBAF0" TargetMode="External"/><Relationship Id="rId31" Type="http://schemas.openxmlformats.org/officeDocument/2006/relationships/image" Target="cid:image008.png@01D53E43.ACDBBAF0" TargetMode="External"/><Relationship Id="rId4" Type="http://schemas.openxmlformats.org/officeDocument/2006/relationships/webSettings" Target="webSettings.xml"/><Relationship Id="rId9" Type="http://schemas.openxmlformats.org/officeDocument/2006/relationships/hyperlink" Target="https://cra-arc-survey-sondage.ca/Engine/s.aspx?surveyID=CFF549E6-246F-4CCC-818F-BCDB50A53D7D&amp;idlang=EN" TargetMode="External"/><Relationship Id="rId14" Type="http://schemas.openxmlformats.org/officeDocument/2006/relationships/hyperlink" Target="https://www.facebook.com/canrevagency/" TargetMode="External"/><Relationship Id="rId22" Type="http://schemas.openxmlformats.org/officeDocument/2006/relationships/image" Target="cid:image005.gif@01D53E43.ACDBBAF0" TargetMode="External"/><Relationship Id="rId27" Type="http://schemas.openxmlformats.org/officeDocument/2006/relationships/image" Target="media/image7.gif"/><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Pierre</dc:creator>
  <cp:keywords/>
  <dc:description/>
  <cp:lastModifiedBy>Gemma Davis</cp:lastModifiedBy>
  <cp:revision>2</cp:revision>
  <dcterms:created xsi:type="dcterms:W3CDTF">2020-05-08T16:35:00Z</dcterms:created>
  <dcterms:modified xsi:type="dcterms:W3CDTF">2020-05-08T16:35:00Z</dcterms:modified>
</cp:coreProperties>
</file>